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eastAsia="Aptos"/>
          <w:b/>
          <w:color w:val="0B6F68"/>
          <w:sz w:val="28"/>
        </w:rPr>
        <w:t>LESSON PLAN</w:t>
      </w:r>
    </w:p>
    <w:p>
      <w:pPr>
        <w:jc w:val="center"/>
      </w:pPr>
      <w:r>
        <w:rPr>
          <w:rFonts w:ascii="Aptos" w:hAnsi="Aptos" w:eastAsia="Aptos"/>
          <w:b/>
          <w:color w:val="17242C"/>
          <w:sz w:val="28"/>
        </w:rPr>
        <w:t>LESSON 19: LISTENING – GLOBAL WARMING</w:t>
        <w:br/>
        <w:t>Announcements and radio broadcasts</w:t>
      </w:r>
    </w:p>
    <w:p>
      <w:pPr>
        <w:jc w:val="center"/>
      </w:pPr>
      <w:r>
        <w:rPr>
          <w:rFonts w:ascii="Aptos" w:hAnsi="Aptos" w:eastAsia="Aptos"/>
          <w:i/>
          <w:color w:val="17242C"/>
          <w:sz w:val="24"/>
        </w:rPr>
        <w:t>Class: 12A1  |  Week 7 (19/10–24/10/2026)  |  Duration: 45 minutes</w:t>
      </w:r>
    </w:p>
    <w:p>
      <w:pPr>
        <w:spacing w:before="160" w:after="80"/>
      </w:pPr>
      <w:r>
        <w:rPr>
          <w:rFonts w:ascii="Aptos" w:hAnsi="Aptos" w:eastAsia="Aptos"/>
          <w:b/>
          <w:color w:val="0B6F68"/>
          <w:sz w:val="28"/>
        </w:rPr>
        <w:t>I. OBJECTIVES</w:t>
      </w:r>
    </w:p>
    <w:p>
      <w:pPr>
        <w:pStyle w:val="ListBullet"/>
        <w:spacing w:after="20"/>
      </w:pPr>
      <w:r>
        <w:rPr>
          <w:rFonts w:ascii="Aptos" w:hAnsi="Aptos" w:eastAsia="Aptos"/>
          <w:color w:val="17242C"/>
          <w:sz w:val="24"/>
        </w:rPr>
        <w:t>Understand public announcements, a radio bulletin and a radio interview about climate conditions, with attention to numbers, warnings, evidence and viewpoint.</w:t>
      </w:r>
    </w:p>
    <w:p>
      <w:pPr>
        <w:pStyle w:val="ListBullet"/>
        <w:spacing w:after="20"/>
      </w:pPr>
      <w:r>
        <w:rPr>
          <w:rFonts w:ascii="Aptos" w:hAnsi="Aptos" w:eastAsia="Aptos"/>
          <w:color w:val="17242C"/>
          <w:sz w:val="24"/>
        </w:rPr>
        <w:t>Extract specific information and interpret speaker attitude through multiple-choice, True/False and gap-fill tasks.</w:t>
      </w:r>
    </w:p>
    <w:p>
      <w:pPr>
        <w:pStyle w:val="ListBullet"/>
        <w:spacing w:after="20"/>
      </w:pPr>
      <w:r>
        <w:rPr>
          <w:rFonts w:ascii="Aptos" w:hAnsi="Aptos" w:eastAsia="Aptos"/>
          <w:color w:val="17242C"/>
          <w:sz w:val="24"/>
        </w:rPr>
        <w:t>Use eight B2–C1 climate words accurately in follow-up discussion.</w:t>
      </w:r>
    </w:p>
    <w:p>
      <w:pPr>
        <w:pStyle w:val="ListBullet"/>
        <w:spacing w:after="20"/>
      </w:pPr>
      <w:r>
        <w:rPr>
          <w:rFonts w:ascii="Aptos" w:hAnsi="Aptos" w:eastAsia="Aptos"/>
          <w:color w:val="17242C"/>
          <w:sz w:val="24"/>
        </w:rPr>
        <w:t>Tích hợp năng lực số (NLS) – 1.3NC1b: lưu trữ thông tin số hóa từ bản tin về hiện tượng ấm lên toàn cầu.</w:t>
      </w:r>
    </w:p>
    <w:p>
      <w:pPr>
        <w:spacing w:before="160" w:after="80"/>
      </w:pPr>
      <w:r>
        <w:rPr>
          <w:rFonts w:ascii="Aptos" w:hAnsi="Aptos" w:eastAsia="Aptos"/>
          <w:b/>
          <w:color w:val="0B6F68"/>
          <w:sz w:val="28"/>
        </w:rPr>
        <w:t>II. LANGUAGE AND SKILLS FOCUS</w:t>
      </w:r>
    </w:p>
    <w:p>
      <w:pPr>
        <w:pStyle w:val="ListBullet"/>
        <w:spacing w:after="20"/>
      </w:pPr>
      <w:r>
        <w:rPr>
          <w:rFonts w:ascii="Aptos" w:hAnsi="Aptos" w:eastAsia="Aptos"/>
          <w:color w:val="17242C"/>
          <w:sz w:val="24"/>
        </w:rPr>
        <w:t>Vocabulary: greenhouse effect, carbon footprint, emission, renewable, deforestation, mitigation, unprecedented, catastrophe.</w:t>
      </w:r>
    </w:p>
    <w:p>
      <w:pPr>
        <w:pStyle w:val="ListBullet"/>
        <w:spacing w:after="20"/>
      </w:pPr>
      <w:r>
        <w:rPr>
          <w:rFonts w:ascii="Aptos" w:hAnsi="Aptos" w:eastAsia="Aptos"/>
          <w:color w:val="17242C"/>
          <w:sz w:val="24"/>
        </w:rPr>
        <w:t>Listening subskills: identifying signposts, catching figures, distinguishing warnings from supporting detail, and interpreting stance.</w:t>
      </w:r>
    </w:p>
    <w:p>
      <w:pPr>
        <w:pStyle w:val="ListBullet"/>
        <w:spacing w:after="20"/>
      </w:pPr>
      <w:r>
        <w:rPr>
          <w:sz w:val="24"/>
        </w:rPr>
        <w:t>Speaking: evaluating school climate responses and defending a choice with listening evidence.</w:t>
      </w:r>
    </w:p>
    <w:p>
      <w:pPr>
        <w:spacing w:before="160" w:after="80"/>
      </w:pPr>
      <w:r>
        <w:rPr>
          <w:rFonts w:ascii="Aptos" w:hAnsi="Aptos" w:eastAsia="Aptos"/>
          <w:b/>
          <w:color w:val="0B6F68"/>
          <w:sz w:val="28"/>
        </w:rPr>
        <w:t>III. RESOURCES</w:t>
      </w:r>
    </w:p>
    <w:p>
      <w:pPr>
        <w:pStyle w:val="ListBullet"/>
        <w:spacing w:after="20"/>
      </w:pPr>
      <w:r>
        <w:rPr>
          <w:rFonts w:ascii="Aptos" w:hAnsi="Aptos" w:eastAsia="Aptos"/>
          <w:color w:val="17242C"/>
          <w:sz w:val="24"/>
        </w:rPr>
        <w:t>Teacher: interactive web lesson, laptop, projector and speakers; downloadable lesson plan and handout.</w:t>
      </w:r>
    </w:p>
    <w:p>
      <w:pPr>
        <w:pStyle w:val="ListBullet"/>
        <w:spacing w:after="20"/>
      </w:pPr>
      <w:r>
        <w:rPr>
          <w:rFonts w:ascii="Aptos" w:hAnsi="Aptos" w:eastAsia="Aptos"/>
          <w:color w:val="17242C"/>
          <w:sz w:val="24"/>
        </w:rPr>
        <w:t>Students: printed handout and writing materials.</w:t>
      </w:r>
    </w:p>
    <w:p>
      <w:pPr>
        <w:pStyle w:val="ListBullet"/>
        <w:spacing w:after="20"/>
      </w:pPr>
      <w:r>
        <w:rPr>
          <w:rFonts w:ascii="Aptos" w:hAnsi="Aptos" w:eastAsia="Aptos"/>
          <w:color w:val="17242C"/>
          <w:sz w:val="24"/>
        </w:rPr>
        <w:t>NLS reporting resource: a cloud note or class drive for archiving key figures (1.3NC1b).</w:t>
      </w:r>
    </w:p>
    <w:p>
      <w:pPr>
        <w:spacing w:before="160" w:after="80"/>
      </w:pPr>
      <w:r>
        <w:rPr>
          <w:rFonts w:ascii="Aptos" w:hAnsi="Aptos" w:eastAsia="Aptos"/>
          <w:b/>
          <w:color w:val="0B6F68"/>
          <w:sz w:val="28"/>
        </w:rPr>
        <w:t>IV. TEACHING PROCEDURE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0"/>
        <w:gridCol w:w="4500"/>
        <w:gridCol w:w="2700"/>
      </w:tblGrid>
      <w:tr>
        <w:trPr>
          <w:tblHeader w:val="true"/>
        </w:trPr>
        <w:tc>
          <w:tcPr>
            <w:tcW w:type="dxa" w:w="3000"/>
            <w:shd w:fill="DFF1ED"/>
            <w:vAlign w:val="center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</w:tcPr>
          <w:p>
            <w:r>
              <w:rPr>
                <w:rFonts w:ascii="Aptos" w:hAnsi="Aptos" w:eastAsia="Aptos"/>
                <w:b/>
                <w:color w:val="0B6F68"/>
                <w:sz w:val="24"/>
              </w:rPr>
              <w:t>Stage</w:t>
            </w:r>
          </w:p>
        </w:tc>
        <w:tc>
          <w:tcPr>
            <w:tcW w:type="dxa" w:w="4500"/>
            <w:shd w:fill="DFF1ED"/>
            <w:vAlign w:val="center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</w:tcPr>
          <w:p>
            <w:r>
              <w:rPr>
                <w:rFonts w:ascii="Aptos" w:hAnsi="Aptos" w:eastAsia="Aptos"/>
                <w:b/>
                <w:color w:val="0B6F68"/>
                <w:sz w:val="24"/>
              </w:rPr>
              <w:t>Teacher and student activities</w:t>
            </w:r>
          </w:p>
        </w:tc>
        <w:tc>
          <w:tcPr>
            <w:tcW w:type="dxa" w:w="2700"/>
            <w:shd w:fill="DFF1ED"/>
            <w:vAlign w:val="center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</w:tcPr>
          <w:p>
            <w:r>
              <w:rPr>
                <w:rFonts w:ascii="Aptos" w:hAnsi="Aptos" w:eastAsia="Aptos"/>
                <w:b/>
                <w:color w:val="0B6F68"/>
                <w:sz w:val="24"/>
              </w:rPr>
              <w:t>Assessment / product</w:t>
            </w:r>
          </w:p>
        </w:tc>
      </w:tr>
      <w:tr>
        <w:tc>
          <w:tcPr>
            <w:tcW w:type="dxa" w:w="30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Warmer</w:t>
            </w:r>
            <w:r>
              <w:rPr>
                <w:sz w:val="24"/>
              </w:rPr>
              <w:t xml:space="preserve"> (4′)</w:t>
            </w:r>
          </w:p>
        </w:tc>
        <w:tc>
          <w:tcPr>
            <w:tcW w:type="dxa" w:w="45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Pairs judge three climate headlines as True or False. Teacher reveals each answer and elicits the lesson topic.</w:t>
            </w:r>
          </w:p>
        </w:tc>
        <w:tc>
          <w:tcPr>
            <w:tcW w:type="dxa" w:w="27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All three statements are True; students identify the shared topic.</w:t>
            </w:r>
          </w:p>
        </w:tc>
      </w:tr>
      <w:tr>
        <w:tc>
          <w:tcPr>
            <w:tcW w:type="dxa" w:w="30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Pre-listening</w:t>
            </w:r>
            <w:r>
              <w:rPr>
                <w:sz w:val="24"/>
              </w:rPr>
              <w:t xml:space="preserve"> (7′)</w:t>
            </w:r>
          </w:p>
        </w:tc>
        <w:tc>
          <w:tcPr>
            <w:tcW w:type="dxa" w:w="45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Students flip eight vocabulary cards, practise pronunciation with the speaker icons, and complete a four-item vocabulary check.</w:t>
            </w:r>
          </w:p>
        </w:tc>
        <w:tc>
          <w:tcPr>
            <w:tcW w:type="dxa" w:w="27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Accurate meaning, pronunciation and contextual word choice.</w:t>
            </w:r>
          </w:p>
        </w:tc>
      </w:tr>
      <w:tr>
        <w:tc>
          <w:tcPr>
            <w:tcW w:type="dxa" w:w="30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While-listening 1</w:t>
            </w:r>
            <w:r>
              <w:rPr>
                <w:sz w:val="24"/>
              </w:rPr>
              <w:t xml:space="preserve"> (7′)</w:t>
            </w:r>
          </w:p>
        </w:tc>
        <w:tc>
          <w:tcPr>
            <w:tcW w:type="dxa" w:w="45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Teacher plays three short practice announcements twice. Students answer six True/False or multiple-choice questions, then check interactively.</w:t>
            </w:r>
          </w:p>
        </w:tc>
        <w:tc>
          <w:tcPr>
            <w:tcW w:type="dxa" w:w="27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Key: 1 T; 2 B; 3 F; 4 B; 5 T; 6 B.</w:t>
            </w:r>
          </w:p>
        </w:tc>
      </w:tr>
      <w:tr>
        <w:tc>
          <w:tcPr>
            <w:tcW w:type="dxa" w:w="30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While-listening 2</w:t>
            </w:r>
            <w:r>
              <w:rPr>
                <w:sz w:val="24"/>
              </w:rPr>
              <w:t xml:space="preserve"> (8′)</w:t>
            </w:r>
          </w:p>
        </w:tc>
        <w:tc>
          <w:tcPr>
            <w:tcW w:type="dxa" w:w="45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Teacher plays the classroom radio bulletin twice. Students complete eight gaps (no more than three words/numbers) and check on screen.</w:t>
            </w:r>
          </w:p>
        </w:tc>
        <w:tc>
          <w:tcPr>
            <w:tcW w:type="dxa" w:w="27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Key: hottest year; 1.55°C; ten years; ten warmest; record high; 4.7 mm; more than twice; flood planning.</w:t>
            </w:r>
          </w:p>
        </w:tc>
      </w:tr>
      <w:tr>
        <w:tc>
          <w:tcPr>
            <w:tcW w:type="dxa" w:w="3000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While-listening 3</w:t>
            </w:r>
            <w:r>
              <w:rPr>
                <w:sz w:val="24"/>
              </w:rPr>
              <w:t xml:space="preserve"> (9′)</w:t>
            </w:r>
          </w:p>
        </w:tc>
        <w:tc>
          <w:tcPr>
            <w:tcW w:type="dxa" w:w="4500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Teacher plays the original radio interview “The Local Climate Hour” twice. Students answer six inference and attitude questions, then justify one answer with exact listening evidence.</w:t>
            </w:r>
          </w:p>
        </w:tc>
        <w:tc>
          <w:tcPr>
            <w:tcW w:type="dxa" w:w="2700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Key: 1 B; 2 C; 3 A; 4 B; 5 C; 6 A.</w:t>
            </w:r>
          </w:p>
        </w:tc>
      </w:tr>
      <w:tr>
        <w:tc>
          <w:tcPr>
            <w:tcW w:type="dxa" w:w="30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Post-listening</w:t>
            </w:r>
            <w:r>
              <w:rPr>
                <w:sz w:val="24"/>
              </w:rPr>
              <w:t xml:space="preserve"> (6′)</w:t>
            </w:r>
          </w:p>
        </w:tc>
        <w:tc>
          <w:tcPr>
            <w:tcW w:type="dxa" w:w="45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sz w:val="24"/>
              </w:rPr>
              <w:t>Groups act as a Climate Response Council. They choose one school initiative, support it with two listening details, and deliver a 60-second pitch. The random picker invites speakers.</w:t>
            </w:r>
          </w:p>
        </w:tc>
        <w:tc>
          <w:tcPr>
            <w:tcW w:type="dxa" w:w="27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sz w:val="24"/>
              </w:rPr>
              <w:t>Evidence-based pitch with a clear priority and rationale.</w:t>
            </w:r>
          </w:p>
        </w:tc>
      </w:tr>
      <w:tr>
        <w:tc>
          <w:tcPr>
            <w:tcW w:type="dxa" w:w="30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NLS integration</w:t>
            </w:r>
            <w:r>
              <w:rPr>
                <w:sz w:val="24"/>
              </w:rPr>
              <w:t xml:space="preserve"> (2′)</w:t>
            </w:r>
          </w:p>
        </w:tc>
        <w:tc>
          <w:tcPr>
            <w:tcW w:type="dxa" w:w="45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For reporting alignment with PPCT: students archive five verified figures from the bulletin in a class cloud note / digital folder (standard 1.3NC1b).</w:t>
            </w:r>
          </w:p>
        </w:tc>
        <w:tc>
          <w:tcPr>
            <w:tcW w:type="dxa" w:w="27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A correctly labelled digital note with five key figures.</w:t>
            </w:r>
          </w:p>
        </w:tc>
      </w:tr>
      <w:tr>
        <w:tc>
          <w:tcPr>
            <w:tcW w:type="dxa" w:w="30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Homework</w:t>
            </w:r>
            <w:r>
              <w:rPr>
                <w:sz w:val="24"/>
              </w:rPr>
              <w:t xml:space="preserve"> (2′)</w:t>
            </w:r>
          </w:p>
        </w:tc>
        <w:tc>
          <w:tcPr>
            <w:tcW w:type="dxa" w:w="45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Write 150–180 words: “What can Vietnamese youth do to slow down global warming?”</w:t>
            </w:r>
          </w:p>
        </w:tc>
        <w:tc>
          <w:tcPr>
            <w:tcW w:type="dxa" w:w="2700"/>
            <w:vAlign w:val="top"/>
            <w:tcBorders>
              <w:top w:val="single" w:sz="6" w:color="CAD7DC"/>
              <w:left w:val="single" w:sz="6" w:color="CAD7DC"/>
              <w:bottom w:val="single" w:sz="6" w:color="CAD7DC"/>
              <w:right w:val="single" w:sz="6" w:color="CAD7DC"/>
              <w:insideH w:val="single" w:sz="6" w:color="CAD7DC"/>
              <w:insideV w:val="single" w:sz="6" w:color="CAD7DC"/>
            </w:tcBorders>
            <w:shd w:fill="FFFFFF"/>
          </w:tcPr>
          <w:p>
            <w:r>
              <w:rPr>
                <w:rFonts w:ascii="Aptos" w:hAnsi="Aptos" w:eastAsia="Aptos"/>
                <w:color w:val="17242C"/>
                <w:sz w:val="24"/>
              </w:rPr>
              <w:t>Students note the writing topic.</w:t>
            </w:r>
          </w:p>
        </w:tc>
      </w:tr>
    </w:tbl>
    <w:p>
      <w:pPr>
        <w:spacing w:before="160" w:after="80"/>
      </w:pPr>
      <w:r>
        <w:rPr>
          <w:rFonts w:ascii="Aptos" w:hAnsi="Aptos" w:eastAsia="Aptos"/>
          <w:b/>
          <w:color w:val="0B6F68"/>
          <w:sz w:val="28"/>
        </w:rPr>
        <w:t>V. SELF-REFLECTION</w:t>
      </w:r>
    </w:p>
    <w:p>
      <w:pPr>
        <w:pStyle w:val="ListBullet"/>
        <w:spacing w:after="60" w:line="252" w:lineRule="auto"/>
      </w:pPr>
      <w:r>
        <w:rPr>
          <w:sz w:val="24"/>
        </w:rPr>
        <w:t>Most students understood the lesson and identified the key listening details accurately after the second listening.</w:t>
      </w:r>
    </w:p>
    <w:p>
      <w:pPr>
        <w:pStyle w:val="ListBullet"/>
        <w:spacing w:after="60" w:line="252" w:lineRule="auto"/>
      </w:pPr>
      <w:r>
        <w:rPr>
          <w:sz w:val="24"/>
        </w:rPr>
        <w:t>Some stages were not allocated enough time, especially pair planning before Task 3 and the post-listening discussion.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